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84" w:rsidRPr="00DC398E" w:rsidRDefault="00D57584" w:rsidP="00D57584">
      <w:pPr>
        <w:pStyle w:val="Sangradetextonormal"/>
        <w:ind w:left="0" w:right="-206"/>
        <w:rPr>
          <w:rFonts w:cs="Arial"/>
          <w:sz w:val="20"/>
        </w:rPr>
      </w:pPr>
      <w:r>
        <w:rPr>
          <w:rFonts w:cs="Arial"/>
          <w:b w:val="0"/>
          <w:noProof/>
          <w:lang w:val="es-ES"/>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lang w:val="es-ES"/>
        </w:rPr>
        <w:t xml:space="preserve">         </w:t>
      </w:r>
      <w:r w:rsidRPr="00DC398E">
        <w:rPr>
          <w:rFonts w:cs="Arial"/>
          <w:sz w:val="20"/>
        </w:rPr>
        <w:t xml:space="preserve">                                                                                                                                   GG. 007.010-</w:t>
      </w:r>
    </w:p>
    <w:p w:rsidR="00D57584" w:rsidRPr="00BE4D95" w:rsidRDefault="00D57584" w:rsidP="00D57584">
      <w:pPr>
        <w:pStyle w:val="Sangradetextonormal"/>
        <w:ind w:left="0" w:right="-206"/>
        <w:rPr>
          <w:rFonts w:cs="Arial"/>
          <w:b w:val="0"/>
          <w:sz w:val="22"/>
          <w:szCs w:val="22"/>
          <w:lang w:val="es-ES"/>
        </w:rPr>
      </w:pPr>
      <w:r>
        <w:rPr>
          <w:rFonts w:cs="Arial"/>
          <w:sz w:val="24"/>
          <w:szCs w:val="24"/>
          <w:lang w:val="es-ES"/>
        </w:rPr>
        <w:t>C</w:t>
      </w:r>
      <w:r w:rsidRPr="00DC398E">
        <w:rPr>
          <w:rFonts w:cs="Arial"/>
          <w:sz w:val="24"/>
          <w:szCs w:val="24"/>
        </w:rPr>
        <w:t>ONTRATO DE PRESTACION DE SERVICIOS  PUBLICITARIOS  SUSCRITO  ENTRE LA LOTERIA SANTANDER</w:t>
      </w:r>
      <w:r>
        <w:rPr>
          <w:rFonts w:cs="Arial"/>
          <w:sz w:val="24"/>
          <w:szCs w:val="24"/>
        </w:rPr>
        <w:t xml:space="preserve">  </w:t>
      </w:r>
      <w:r>
        <w:rPr>
          <w:rFonts w:cs="Arial"/>
          <w:sz w:val="24"/>
          <w:szCs w:val="24"/>
          <w:lang w:val="es-ES"/>
        </w:rPr>
        <w:t>Y DUVAN ALEXANDER ROSAS SUAREZ.XXXXXXXXX</w:t>
      </w:r>
    </w:p>
    <w:p w:rsidR="00D57584" w:rsidRPr="00DC398E" w:rsidRDefault="00D57584" w:rsidP="00D57584">
      <w:pPr>
        <w:pStyle w:val="Encabezado"/>
        <w:ind w:right="-206"/>
        <w:jc w:val="both"/>
        <w:rPr>
          <w:rFonts w:ascii="Arial" w:hAnsi="Arial" w:cs="Arial"/>
        </w:rPr>
      </w:pPr>
      <w:r w:rsidRPr="00DC398E">
        <w:rPr>
          <w:rFonts w:ascii="Arial" w:hAnsi="Arial" w:cs="Arial"/>
        </w:rPr>
        <w:t xml:space="preserve">                                     </w:t>
      </w:r>
    </w:p>
    <w:p w:rsidR="00D57584" w:rsidRDefault="00D57584" w:rsidP="00D57584">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DUVAN ALEXANDER ROSAS SUAREZ </w:t>
      </w:r>
      <w:r w:rsidRPr="0029706F">
        <w:rPr>
          <w:rFonts w:ascii="Arial" w:hAnsi="Arial" w:cs="Arial"/>
          <w:sz w:val="18"/>
          <w:szCs w:val="18"/>
        </w:rPr>
        <w:t xml:space="preserve">identificado con la cédula de ciudadanía número  </w:t>
      </w:r>
      <w:r>
        <w:rPr>
          <w:rFonts w:ascii="Arial" w:hAnsi="Arial" w:cs="Arial"/>
          <w:sz w:val="18"/>
          <w:szCs w:val="18"/>
        </w:rPr>
        <w:t>1.098.701.630</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57584" w:rsidRDefault="00D57584" w:rsidP="00D57584">
      <w:pPr>
        <w:pStyle w:val="Prrafodelista"/>
        <w:ind w:left="0"/>
        <w:jc w:val="both"/>
        <w:rPr>
          <w:rFonts w:ascii="Arial" w:hAnsi="Arial" w:cs="Arial"/>
          <w:b/>
          <w:i/>
          <w:sz w:val="18"/>
          <w:szCs w:val="18"/>
        </w:rPr>
      </w:pPr>
    </w:p>
    <w:p w:rsidR="00D57584" w:rsidRDefault="00D57584" w:rsidP="00D57584">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D57584" w:rsidRDefault="00D57584" w:rsidP="00D57584">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D57584" w:rsidRDefault="00D57584" w:rsidP="00D57584">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UNICA 1340 AM</w:t>
      </w:r>
    </w:p>
    <w:p w:rsidR="00D57584" w:rsidRDefault="00D57584" w:rsidP="00D57584">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RECORRIENDO SANTANDER</w:t>
      </w:r>
    </w:p>
    <w:p w:rsidR="00D57584" w:rsidRDefault="00D57584" w:rsidP="00D57584">
      <w:pPr>
        <w:jc w:val="both"/>
        <w:rPr>
          <w:rFonts w:ascii="Arial" w:hAnsi="Arial" w:cs="Arial"/>
          <w:b/>
        </w:rPr>
      </w:pPr>
      <w:r>
        <w:rPr>
          <w:rFonts w:ascii="Arial" w:hAnsi="Arial" w:cs="Arial"/>
          <w:b/>
        </w:rPr>
        <w:t xml:space="preserve">DIAS DE EMISION:  </w:t>
      </w:r>
      <w:r>
        <w:rPr>
          <w:rFonts w:ascii="Arial" w:hAnsi="Arial" w:cs="Arial"/>
          <w:b/>
        </w:rPr>
        <w:tab/>
        <w:t xml:space="preserve">            SABADOS</w:t>
      </w:r>
    </w:p>
    <w:p w:rsidR="00D57584" w:rsidRDefault="00D57584" w:rsidP="00D57584">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11:00 AM A 12:00 M</w:t>
      </w:r>
    </w:p>
    <w:p w:rsidR="00D57584" w:rsidRDefault="00D57584" w:rsidP="00D57584">
      <w:pPr>
        <w:jc w:val="both"/>
        <w:rPr>
          <w:rFonts w:ascii="Arial" w:hAnsi="Arial" w:cs="Arial"/>
          <w:b/>
        </w:rPr>
      </w:pPr>
      <w:r>
        <w:rPr>
          <w:rFonts w:ascii="Arial" w:hAnsi="Arial" w:cs="Arial"/>
          <w:b/>
        </w:rPr>
        <w:t xml:space="preserve">DURACION DE LA CUÑA: </w:t>
      </w:r>
      <w:r>
        <w:rPr>
          <w:rFonts w:ascii="Arial" w:hAnsi="Arial" w:cs="Arial"/>
          <w:b/>
        </w:rPr>
        <w:tab/>
        <w:t>30 segundos</w:t>
      </w:r>
    </w:p>
    <w:p w:rsidR="00D57584" w:rsidRDefault="00D57584" w:rsidP="00D57584">
      <w:pPr>
        <w:jc w:val="both"/>
        <w:rPr>
          <w:rFonts w:ascii="Arial" w:hAnsi="Arial" w:cs="Arial"/>
          <w:b/>
        </w:rPr>
      </w:pPr>
      <w:r>
        <w:rPr>
          <w:rFonts w:ascii="Arial" w:hAnsi="Arial" w:cs="Arial"/>
          <w:b/>
        </w:rPr>
        <w:t>No. CUÑAS POR EMISION:</w:t>
      </w:r>
      <w:r>
        <w:rPr>
          <w:rFonts w:ascii="Arial" w:hAnsi="Arial" w:cs="Arial"/>
          <w:b/>
        </w:rPr>
        <w:tab/>
        <w:t xml:space="preserve">Cinco (5) por emisión </w:t>
      </w:r>
    </w:p>
    <w:p w:rsidR="00D57584" w:rsidRDefault="00D57584" w:rsidP="00D57584">
      <w:pPr>
        <w:pStyle w:val="Prrafodelista"/>
        <w:ind w:left="0"/>
        <w:jc w:val="both"/>
        <w:rPr>
          <w:rFonts w:ascii="Arial" w:hAnsi="Arial" w:cs="Arial"/>
          <w:sz w:val="18"/>
          <w:szCs w:val="18"/>
        </w:rPr>
      </w:pPr>
    </w:p>
    <w:p w:rsidR="00D57584" w:rsidRPr="003A0509" w:rsidRDefault="00D57584" w:rsidP="00D57584">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TRES MILLONES DE PESOS MONEDA CORRIENTE</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Pr>
          <w:rFonts w:ascii="Arial" w:hAnsi="Arial" w:cs="Arial"/>
          <w:sz w:val="18"/>
          <w:szCs w:val="18"/>
        </w:rPr>
        <w:t>000764</w:t>
      </w:r>
      <w:r w:rsidRPr="00F71FDC">
        <w:rPr>
          <w:rFonts w:ascii="Arial" w:hAnsi="Arial" w:cs="Arial"/>
          <w:sz w:val="18"/>
          <w:szCs w:val="18"/>
        </w:rPr>
        <w:t xml:space="preserve"> de fecha </w:t>
      </w:r>
      <w:r>
        <w:rPr>
          <w:rFonts w:ascii="Arial" w:hAnsi="Arial" w:cs="Arial"/>
          <w:sz w:val="18"/>
          <w:szCs w:val="18"/>
        </w:rPr>
        <w:t xml:space="preserve">29 </w:t>
      </w:r>
      <w:r w:rsidRPr="00F71FDC">
        <w:rPr>
          <w:rFonts w:ascii="Arial" w:hAnsi="Arial" w:cs="Arial"/>
          <w:sz w:val="18"/>
          <w:szCs w:val="18"/>
        </w:rPr>
        <w:t xml:space="preserve">de </w:t>
      </w:r>
      <w:r>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lastRenderedPageBreak/>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D57584" w:rsidRDefault="00D57584" w:rsidP="00D57584">
      <w:pPr>
        <w:jc w:val="both"/>
        <w:rPr>
          <w:rFonts w:ascii="Arial" w:hAnsi="Arial" w:cs="Arial"/>
        </w:rPr>
      </w:pPr>
    </w:p>
    <w:p w:rsidR="00D57584" w:rsidRPr="00F71FDC" w:rsidRDefault="00D57584" w:rsidP="00D57584">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D57584" w:rsidRDefault="00D57584" w:rsidP="00D57584">
      <w:pPr>
        <w:jc w:val="both"/>
        <w:outlineLvl w:val="1"/>
        <w:rPr>
          <w:rFonts w:ascii="Arial" w:hAnsi="Arial" w:cs="Arial"/>
        </w:rPr>
      </w:pPr>
    </w:p>
    <w:p w:rsidR="00D57584" w:rsidRPr="00DC398E" w:rsidRDefault="00D57584" w:rsidP="00D57584">
      <w:pPr>
        <w:jc w:val="both"/>
        <w:outlineLvl w:val="1"/>
        <w:rPr>
          <w:rFonts w:ascii="Arial" w:hAnsi="Arial" w:cs="Arial"/>
        </w:rPr>
      </w:pPr>
    </w:p>
    <w:p w:rsidR="00D57584" w:rsidRDefault="00D57584" w:rsidP="00D57584">
      <w:pPr>
        <w:jc w:val="both"/>
        <w:outlineLvl w:val="1"/>
        <w:rPr>
          <w:rFonts w:ascii="Arial" w:hAnsi="Arial" w:cs="Arial"/>
          <w:b/>
          <w:sz w:val="24"/>
          <w:szCs w:val="24"/>
        </w:rPr>
      </w:pPr>
    </w:p>
    <w:p w:rsidR="00D57584" w:rsidRPr="00DC398E" w:rsidRDefault="00D57584" w:rsidP="00D57584">
      <w:pPr>
        <w:jc w:val="both"/>
        <w:outlineLvl w:val="1"/>
        <w:rPr>
          <w:rFonts w:ascii="Arial" w:hAnsi="Arial" w:cs="Arial"/>
          <w:b/>
          <w:sz w:val="24"/>
          <w:szCs w:val="24"/>
        </w:rPr>
      </w:pPr>
      <w:r>
        <w:rPr>
          <w:rFonts w:ascii="Arial" w:hAnsi="Arial" w:cs="Arial"/>
          <w:b/>
          <w:sz w:val="24"/>
          <w:szCs w:val="24"/>
        </w:rPr>
        <w:t>JANIRE DE JESUS PARRA RODRIGUEZ        DUVAN ALEXANDER ROSAS SUAREZ</w:t>
      </w:r>
      <w:r w:rsidRPr="00DC398E">
        <w:rPr>
          <w:rFonts w:ascii="Arial" w:hAnsi="Arial" w:cs="Arial"/>
          <w:b/>
          <w:sz w:val="24"/>
          <w:szCs w:val="24"/>
        </w:rPr>
        <w:t xml:space="preserve">                                                                                                   </w:t>
      </w:r>
    </w:p>
    <w:p w:rsidR="00D57584" w:rsidRPr="00DC398E" w:rsidRDefault="00D57584" w:rsidP="00D57584">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D57584" w:rsidRDefault="00D57584" w:rsidP="00D57584">
      <w:pPr>
        <w:pStyle w:val="Encabezado"/>
        <w:jc w:val="both"/>
        <w:rPr>
          <w:rFonts w:ascii="Arial" w:hAnsi="Arial" w:cs="Arial"/>
          <w:b/>
          <w:i/>
          <w:sz w:val="16"/>
          <w:szCs w:val="16"/>
        </w:rPr>
      </w:pPr>
    </w:p>
    <w:p w:rsidR="00D57584" w:rsidRDefault="00D57584" w:rsidP="00D57584">
      <w:pPr>
        <w:pStyle w:val="Encabezado"/>
        <w:jc w:val="both"/>
        <w:rPr>
          <w:rFonts w:ascii="Arial" w:hAnsi="Arial" w:cs="Arial"/>
          <w:b/>
          <w:i/>
          <w:sz w:val="16"/>
          <w:szCs w:val="16"/>
        </w:rPr>
      </w:pPr>
      <w:r>
        <w:rPr>
          <w:rFonts w:ascii="Arial" w:hAnsi="Arial" w:cs="Arial"/>
          <w:b/>
          <w:i/>
          <w:sz w:val="16"/>
          <w:szCs w:val="16"/>
        </w:rPr>
        <w:t xml:space="preserve">   </w:t>
      </w:r>
    </w:p>
    <w:p w:rsidR="00D57584" w:rsidRDefault="00D57584" w:rsidP="00D57584">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w:t>
      </w:r>
      <w:r>
        <w:rPr>
          <w:rFonts w:ascii="Arial" w:hAnsi="Arial" w:cs="Arial"/>
          <w:b/>
          <w:i/>
          <w:sz w:val="16"/>
          <w:szCs w:val="16"/>
          <w:lang w:val="es-ES"/>
        </w:rPr>
        <w:t xml:space="preserve">     </w:t>
      </w:r>
      <w:r>
        <w:rPr>
          <w:rFonts w:ascii="Arial" w:hAnsi="Arial" w:cs="Arial"/>
          <w:b/>
          <w:i/>
          <w:sz w:val="16"/>
          <w:szCs w:val="16"/>
        </w:rPr>
        <w:t>Revisó:</w:t>
      </w:r>
      <w:r w:rsidRPr="00DC398E">
        <w:rPr>
          <w:rFonts w:ascii="Arial" w:hAnsi="Arial" w:cs="Arial"/>
          <w:b/>
          <w:i/>
          <w:sz w:val="16"/>
          <w:szCs w:val="16"/>
        </w:rPr>
        <w:t xml:space="preserve"> María Elena Gutiérrez Duarte</w:t>
      </w:r>
    </w:p>
    <w:p w:rsidR="00D57584" w:rsidRDefault="00D57584" w:rsidP="00D57584"/>
    <w:p w:rsidR="00D57584" w:rsidRDefault="00D57584" w:rsidP="00D57584">
      <w:pPr>
        <w:pStyle w:val="Encabezado"/>
        <w:jc w:val="both"/>
        <w:rPr>
          <w:rFonts w:ascii="Arial" w:hAnsi="Arial" w:cs="Arial"/>
          <w:b/>
          <w:i/>
          <w:sz w:val="16"/>
          <w:szCs w:val="16"/>
          <w:lang w:val="es-ES"/>
        </w:rPr>
      </w:pPr>
    </w:p>
    <w:p w:rsidR="00D57584" w:rsidRPr="0089567D" w:rsidRDefault="00D57584" w:rsidP="00D57584">
      <w:pPr>
        <w:pStyle w:val="Encabezado"/>
        <w:jc w:val="both"/>
        <w:rPr>
          <w:lang w:val="es-ES"/>
        </w:rPr>
      </w:pPr>
    </w:p>
    <w:p w:rsidR="004E0DAC" w:rsidRDefault="004E0DAC"/>
    <w:sectPr w:rsidR="004E0DAC"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D57584">
    <w:pPr>
      <w:pStyle w:val="Encabezado"/>
      <w:jc w:val="right"/>
    </w:pPr>
  </w:p>
  <w:p w:rsidR="00642FAD" w:rsidRDefault="00D57584">
    <w:pPr>
      <w:pStyle w:val="Encabezado"/>
      <w:jc w:val="right"/>
    </w:pPr>
  </w:p>
  <w:p w:rsidR="00642FAD" w:rsidRDefault="00D57584">
    <w:pPr>
      <w:pStyle w:val="Encabezado"/>
      <w:jc w:val="right"/>
    </w:pPr>
  </w:p>
  <w:p w:rsidR="00642FAD" w:rsidRDefault="00D57584">
    <w:pPr>
      <w:pStyle w:val="Encabezado"/>
      <w:jc w:val="right"/>
    </w:pPr>
  </w:p>
  <w:p w:rsidR="00642FAD" w:rsidRDefault="00D57584">
    <w:pPr>
      <w:pStyle w:val="Encabezado"/>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642FAD" w:rsidRDefault="00D5758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7584"/>
    <w:rsid w:val="004E0DAC"/>
    <w:rsid w:val="00D575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8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57584"/>
    <w:pPr>
      <w:ind w:left="4248"/>
      <w:jc w:val="both"/>
    </w:pPr>
    <w:rPr>
      <w:rFonts w:ascii="Arial" w:hAnsi="Arial"/>
      <w:b/>
      <w:sz w:val="18"/>
      <w:lang/>
    </w:rPr>
  </w:style>
  <w:style w:type="character" w:customStyle="1" w:styleId="SangradetextonormalCar">
    <w:name w:val="Sangría de texto normal Car"/>
    <w:basedOn w:val="Fuentedeprrafopredeter"/>
    <w:link w:val="Sangradetextonormal"/>
    <w:rsid w:val="00D57584"/>
    <w:rPr>
      <w:rFonts w:ascii="Arial" w:eastAsia="Times New Roman" w:hAnsi="Arial" w:cs="Times New Roman"/>
      <w:b/>
      <w:sz w:val="18"/>
      <w:szCs w:val="20"/>
      <w:lang w:eastAsia="es-ES"/>
    </w:rPr>
  </w:style>
  <w:style w:type="paragraph" w:styleId="Encabezado">
    <w:name w:val="header"/>
    <w:basedOn w:val="Normal"/>
    <w:link w:val="EncabezadoCar"/>
    <w:uiPriority w:val="99"/>
    <w:rsid w:val="00D57584"/>
    <w:pPr>
      <w:tabs>
        <w:tab w:val="center" w:pos="4252"/>
        <w:tab w:val="right" w:pos="8504"/>
      </w:tabs>
    </w:pPr>
    <w:rPr>
      <w:lang/>
    </w:rPr>
  </w:style>
  <w:style w:type="character" w:customStyle="1" w:styleId="EncabezadoCar">
    <w:name w:val="Encabezado Car"/>
    <w:basedOn w:val="Fuentedeprrafopredeter"/>
    <w:link w:val="Encabezado"/>
    <w:uiPriority w:val="99"/>
    <w:rsid w:val="00D5758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5758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10021</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1</cp:revision>
  <dcterms:created xsi:type="dcterms:W3CDTF">2012-09-03T20:13:00Z</dcterms:created>
  <dcterms:modified xsi:type="dcterms:W3CDTF">2012-09-03T20:14:00Z</dcterms:modified>
</cp:coreProperties>
</file>